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7D6790" w:rsidP="007D6790">
      <w:pPr>
        <w:ind w:left="3020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>7</w:t>
      </w:r>
      <w:r w:rsidR="00E941EF" w:rsidRPr="007D6790">
        <w:rPr>
          <w:rFonts w:ascii="Times New Roman" w:eastAsia="Arial" w:hAnsi="Times New Roman" w:cs="Times New Roman"/>
          <w:b/>
          <w:sz w:val="28"/>
          <w:szCs w:val="28"/>
        </w:rPr>
        <w:t xml:space="preserve"> МАЗУТНОЕ ХОЗЯЙСТВО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7D6790">
        <w:rPr>
          <w:rFonts w:ascii="Times New Roman" w:eastAsia="Arial" w:hAnsi="Times New Roman" w:cs="Times New Roman"/>
          <w:b/>
          <w:sz w:val="28"/>
          <w:szCs w:val="28"/>
        </w:rPr>
        <w:t>Структура мазутного хозяйства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Мазут может использоваться как основное топливо, а также как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резерв-ное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(например, в зимнее время), аварийное и растопочное, когда основным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яв-ляется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сжигаемое в пылевидном состоянии твердое топливо.</w:t>
      </w:r>
      <w:r w:rsidR="007D6790">
        <w:rPr>
          <w:rFonts w:ascii="Times New Roman" w:eastAsia="Arial" w:hAnsi="Times New Roman" w:cs="Times New Roman"/>
          <w:sz w:val="28"/>
          <w:szCs w:val="28"/>
        </w:rPr>
        <w:t xml:space="preserve"> К </w:t>
      </w: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тепловым электрическим станциям (ТЭС) </w:t>
      </w:r>
      <w:r w:rsidR="007D6790">
        <w:rPr>
          <w:rFonts w:ascii="Times New Roman" w:eastAsia="Arial" w:hAnsi="Times New Roman" w:cs="Times New Roman"/>
          <w:sz w:val="28"/>
          <w:szCs w:val="28"/>
        </w:rPr>
        <w:t>мазут доставляется железнодорож</w:t>
      </w:r>
      <w:r w:rsidRPr="007D6790">
        <w:rPr>
          <w:rFonts w:ascii="Times New Roman" w:eastAsia="Arial" w:hAnsi="Times New Roman" w:cs="Times New Roman"/>
          <w:sz w:val="28"/>
          <w:szCs w:val="28"/>
        </w:rPr>
        <w:t>ным транспортом, нефтеналивными судами, по трубопроводам.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При доставке мазута железнодорожным транспортом мазутное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хозяй-ство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включает в себя следующие сооружения и устройства: сливную эстакаду с промежуточной емкостью;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;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мазутонасосную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станцию;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систе-му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мазутопроводов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между емкостями мазута,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мазутонасосной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</w:t>
      </w:r>
      <w:hyperlink r:id="rId5" w:history="1">
        <w:r w:rsidRPr="007D6790">
          <w:rPr>
            <w:rFonts w:ascii="Times New Roman" w:eastAsia="Arial" w:hAnsi="Times New Roman" w:cs="Times New Roman"/>
            <w:sz w:val="28"/>
            <w:szCs w:val="28"/>
          </w:rPr>
          <w:t>котельными</w:t>
        </w:r>
      </w:hyperlink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6" w:history="1">
        <w:r w:rsidRPr="007D6790">
          <w:rPr>
            <w:rFonts w:ascii="Times New Roman" w:eastAsia="Arial" w:hAnsi="Times New Roman" w:cs="Times New Roman"/>
            <w:sz w:val="28"/>
            <w:szCs w:val="28"/>
          </w:rPr>
          <w:t>установками</w:t>
        </w:r>
      </w:hyperlink>
      <w:r w:rsidRPr="007D6790">
        <w:rPr>
          <w:rFonts w:ascii="Times New Roman" w:eastAsia="Arial" w:hAnsi="Times New Roman" w:cs="Times New Roman"/>
          <w:sz w:val="28"/>
          <w:szCs w:val="28"/>
        </w:rPr>
        <w:t xml:space="preserve">; устройства для подогрева мазута; установки для приема,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хране-ния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ввода в мазут жидких присадок.</w:t>
      </w:r>
      <w:proofErr w:type="gramEnd"/>
    </w:p>
    <w:p w:rsidR="00E941EF" w:rsidRPr="007D6790" w:rsidRDefault="00E941EF" w:rsidP="007D6790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Принципиальная схема мазутного хозяйства ТЭС представлена на рис.</w:t>
      </w:r>
    </w:p>
    <w:p w:rsidR="00E941EF" w:rsidRPr="007D6790" w:rsidRDefault="00E941EF" w:rsidP="007D6790">
      <w:pPr>
        <w:rPr>
          <w:rFonts w:ascii="Times New Roman" w:eastAsia="Arial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page88"/>
      <w:bookmarkEnd w:id="0"/>
      <w:r w:rsidRPr="007D6790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1685925</wp:posOffset>
            </wp:positionH>
            <wp:positionV relativeFrom="page">
              <wp:posOffset>5133975</wp:posOffset>
            </wp:positionV>
            <wp:extent cx="3114675" cy="2430041"/>
            <wp:effectExtent l="1905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430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192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Рис. 31. Принципиальная схема мазутного хозяйства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1 — цистерна; 2 — лоток приемно-сливного устройства; 3 — фильтр-сетка;</w:t>
      </w:r>
    </w:p>
    <w:p w:rsidR="00E941EF" w:rsidRPr="007D6790" w:rsidRDefault="00E941EF" w:rsidP="007D6790">
      <w:pPr>
        <w:ind w:left="34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4 —приемный резервуар; 5—перекачивающий насос (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погружного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типа);</w:t>
      </w:r>
    </w:p>
    <w:p w:rsidR="00E941EF" w:rsidRPr="007D6790" w:rsidRDefault="00E941EF" w:rsidP="007D6790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6—основной резервуар; 7—насос первого подъема; 8 — основной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подогрева-тель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мазута; 9— фильтр тонкой очистки мазута; 10 — насос второго подъема; 11 — регулирующий клапан подачи мазута к горелкам; 12— насос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рециркуля-ции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; 13 — фильтр очистки резервуара; 14 — подогреватель мазута на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рецирку-ляцию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основного резервуара; 15—подогреватель мазута на рециркуляцию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при-емного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резервуара и лотка.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Из цистерн мазут сливается в приемный резервуар, проходя через фильтр-сетку.</w:t>
      </w:r>
      <w:r w:rsid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7D6790">
        <w:rPr>
          <w:rFonts w:ascii="Times New Roman" w:eastAsia="Arial" w:hAnsi="Times New Roman" w:cs="Times New Roman"/>
          <w:sz w:val="28"/>
          <w:szCs w:val="28"/>
        </w:rPr>
        <w:t>В</w:t>
      </w:r>
      <w:r w:rsidRPr="007D6790">
        <w:rPr>
          <w:rFonts w:ascii="Times New Roman" w:eastAsia="Arial" w:hAnsi="Times New Roman" w:cs="Times New Roman"/>
          <w:sz w:val="28"/>
          <w:szCs w:val="28"/>
        </w:rPr>
        <w:t>связи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 тем, что мазут застывает при температуре плюс 10 –</w:t>
      </w:r>
      <w:r w:rsidRPr="007D6790">
        <w:rPr>
          <w:rFonts w:ascii="Times New Roman" w:eastAsia="Arial" w:hAnsi="Times New Roman" w:cs="Times New Roman"/>
          <w:sz w:val="28"/>
          <w:szCs w:val="28"/>
        </w:rPr>
        <w:lastRenderedPageBreak/>
        <w:t>плюс 23</w:t>
      </w:r>
      <w:r w:rsidR="007D6790" w:rsidRPr="007D6790">
        <w:rPr>
          <w:rFonts w:ascii="Times New Roman" w:eastAsia="Symbol" w:hAnsi="Times New Roman" w:cs="Times New Roman"/>
          <w:sz w:val="28"/>
          <w:szCs w:val="28"/>
          <w:vertAlign w:val="superscript"/>
        </w:rPr>
        <w:t>0</w:t>
      </w:r>
      <w:r w:rsidRPr="007D6790">
        <w:rPr>
          <w:rFonts w:ascii="Times New Roman" w:eastAsia="Arial" w:hAnsi="Times New Roman" w:cs="Times New Roman"/>
          <w:sz w:val="28"/>
          <w:szCs w:val="28"/>
        </w:rPr>
        <w:t>С, для полного и своевременного слива мазута по тракту приемно-сливного устройства необходим разогрев мазута в ц</w:t>
      </w:r>
      <w:r w:rsidR="007D6790">
        <w:rPr>
          <w:rFonts w:ascii="Times New Roman" w:eastAsia="Arial" w:hAnsi="Times New Roman" w:cs="Times New Roman"/>
          <w:sz w:val="28"/>
          <w:szCs w:val="28"/>
        </w:rPr>
        <w:t>истернах, лотках, приемных емко</w:t>
      </w:r>
      <w:r w:rsidRPr="007D6790">
        <w:rPr>
          <w:rFonts w:ascii="Times New Roman" w:eastAsia="Arial" w:hAnsi="Times New Roman" w:cs="Times New Roman"/>
          <w:sz w:val="28"/>
          <w:szCs w:val="28"/>
        </w:rPr>
        <w:t>стях, рабочем резервуаре.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Слив мазута в зависимости от температуры окружающей среды и температуры мазута в цистернах производится:</w:t>
      </w:r>
    </w:p>
    <w:p w:rsidR="00E941EF" w:rsidRPr="007D6790" w:rsidRDefault="00E941EF" w:rsidP="007D6790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- при поступлении мазута в зимнее время года – с разогревом его в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ци-стернах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паром;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89"/>
      <w:bookmarkEnd w:id="1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- при поступлении мазута в летнее время года – без прогрева, но с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по-следующей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пропаркой цистерн.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Разогрев мазута перед сливом и пропарка цистерн проводится паром (прямой контакт), подаваемым непосредственно в цистерны через пропарочные устройства – гусаки, состоящие из поворотных стояков и Т-образных штанг, опускаемых в цистерны.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Параметры пара поддерживаются в пределах 0,8-0,13 МПа и 200-250</w:t>
      </w:r>
      <w:r w:rsidRPr="007D6790">
        <w:rPr>
          <w:rFonts w:ascii="Times New Roman" w:eastAsia="Symbol" w:hAnsi="Times New Roman" w:cs="Times New Roman"/>
          <w:sz w:val="28"/>
          <w:szCs w:val="28"/>
        </w:rPr>
        <w:t></w:t>
      </w: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С. Пар на приемно-сливное устройство подается от общих паропроводов, идущих в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мазутонасосную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>.</w:t>
      </w:r>
    </w:p>
    <w:p w:rsidR="00E941EF" w:rsidRPr="007D6790" w:rsidRDefault="00E941EF" w:rsidP="007D6790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На каждой приемной емкости установлены:</w:t>
      </w:r>
    </w:p>
    <w:p w:rsidR="00E941EF" w:rsidRPr="007D6790" w:rsidRDefault="007D6790" w:rsidP="007D6790">
      <w:pPr>
        <w:numPr>
          <w:ilvl w:val="0"/>
          <w:numId w:val="1"/>
        </w:numPr>
        <w:tabs>
          <w:tab w:val="clear" w:pos="0"/>
          <w:tab w:val="num" w:pos="360"/>
          <w:tab w:val="left" w:pos="420"/>
        </w:tabs>
        <w:ind w:left="420" w:hanging="158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2 </w:t>
      </w:r>
      <w:proofErr w:type="gramStart"/>
      <w:r w:rsidR="00E941EF" w:rsidRPr="007D6790">
        <w:rPr>
          <w:rFonts w:ascii="Times New Roman" w:eastAsia="Arial" w:hAnsi="Times New Roman" w:cs="Times New Roman"/>
          <w:sz w:val="28"/>
          <w:szCs w:val="28"/>
        </w:rPr>
        <w:t>перекачивающих</w:t>
      </w:r>
      <w:proofErr w:type="gramEnd"/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 насоса;</w:t>
      </w:r>
    </w:p>
    <w:p w:rsidR="00E941EF" w:rsidRPr="007D6790" w:rsidRDefault="007D6790" w:rsidP="007D6790">
      <w:pPr>
        <w:numPr>
          <w:ilvl w:val="0"/>
          <w:numId w:val="1"/>
        </w:numPr>
        <w:tabs>
          <w:tab w:val="clear" w:pos="0"/>
          <w:tab w:val="num" w:pos="360"/>
          <w:tab w:val="left" w:pos="420"/>
        </w:tabs>
        <w:ind w:left="420" w:hanging="158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>уровнемер;</w:t>
      </w:r>
    </w:p>
    <w:p w:rsidR="00E941EF" w:rsidRPr="007D6790" w:rsidRDefault="007D6790" w:rsidP="007D6790">
      <w:pPr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>аварийный звуковой сигнализатор предельного уровня.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Вместимость приемной емкости составляет не менее 20% вместимости устанавливаемых под разгрузку цистерн. Из приемной емкости мазут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перекачи-вается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насосами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погружного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типа в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мазутохранилище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>.</w:t>
      </w:r>
    </w:p>
    <w:p w:rsidR="00E941EF" w:rsidRPr="007D6790" w:rsidRDefault="00E941EF" w:rsidP="007D6790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Контроль за работой перекачивающих насосов ведется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>:</w:t>
      </w:r>
    </w:p>
    <w:p w:rsidR="00E941EF" w:rsidRPr="007D6790" w:rsidRDefault="007D6790" w:rsidP="007D6790">
      <w:pPr>
        <w:numPr>
          <w:ilvl w:val="0"/>
          <w:numId w:val="1"/>
        </w:numPr>
        <w:tabs>
          <w:tab w:val="clear" w:pos="0"/>
          <w:tab w:val="num" w:pos="360"/>
          <w:tab w:val="left" w:pos="420"/>
        </w:tabs>
        <w:ind w:left="420" w:hanging="158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>манометрам (по месту), показывающим создаваемое насосами давление;</w:t>
      </w:r>
    </w:p>
    <w:p w:rsidR="00E941EF" w:rsidRPr="007D6790" w:rsidRDefault="007D6790" w:rsidP="007D6790">
      <w:pPr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термометрами (по месту), указывающими температуру мазута в каждой </w:t>
      </w:r>
      <w:proofErr w:type="spellStart"/>
      <w:proofErr w:type="gramStart"/>
      <w:r w:rsidR="00E941EF" w:rsidRPr="007D6790">
        <w:rPr>
          <w:rFonts w:ascii="Times New Roman" w:eastAsia="Arial" w:hAnsi="Times New Roman" w:cs="Times New Roman"/>
          <w:sz w:val="28"/>
          <w:szCs w:val="28"/>
        </w:rPr>
        <w:t>про-межуточной</w:t>
      </w:r>
      <w:proofErr w:type="spellEnd"/>
      <w:proofErr w:type="gramEnd"/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 емкости;</w:t>
      </w:r>
    </w:p>
    <w:p w:rsidR="00E941EF" w:rsidRPr="007D6790" w:rsidRDefault="007D6790" w:rsidP="007D6790">
      <w:pPr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>амперметрами на щитке включения электродвигателей насосов.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3660"/>
        <w:rPr>
          <w:rFonts w:ascii="Times New Roman" w:eastAsia="Arial" w:hAnsi="Times New Roman" w:cs="Times New Roman"/>
          <w:b/>
          <w:sz w:val="28"/>
          <w:szCs w:val="28"/>
        </w:rPr>
      </w:pPr>
      <w:r w:rsidRPr="007D6790">
        <w:rPr>
          <w:rFonts w:ascii="Times New Roman" w:eastAsia="Arial" w:hAnsi="Times New Roman" w:cs="Times New Roman"/>
          <w:b/>
          <w:sz w:val="28"/>
          <w:szCs w:val="28"/>
        </w:rPr>
        <w:t>Хранение мазута</w:t>
      </w:r>
    </w:p>
    <w:p w:rsidR="007D6790" w:rsidRDefault="007D6790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Хранение мазута на электростанциях и котельных осуществляется на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ба-зисных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мазутохранилищах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 резервуарах, емкость и количество которых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зави-сят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от мощности электростанции или котельной, способа и дальности доставки мазута, а также технологии подготовки топлива к сжиганию. На мощных газо-мазутных ГРЭС и ТЭЦ емкости мазутных складов достигают 250 тыс. т и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бо-лее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>, а длительность хранения мазута при наличии резервного топлива иногда составляет 6 мес.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Для хранения мазута сооружают в основном железобетонные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резервуа-ры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сборной конструкции. В отдельных случаях при значительном удалении склада топлива от строительных участков возводятся монолитные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железобе-тонные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резервуары. Металлические резервуары сооружаются в районах с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сей-смичностью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более шести баллов, Крайнего Севера, их также сооружают при расширении склада топлива, оборудованного металлическими баками, когда сооружение железобетонных резервуаров экономически не оправдано.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2" w:name="page90"/>
      <w:bookmarkEnd w:id="2"/>
      <w:r w:rsidRPr="007D6790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Резервуары для хранения мазута подразделяют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наземные,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полупод-земные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подземные. Резервуар относят к категории подземных, если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наивыс-ших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уровень мазута в нем на 0,2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м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ниже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наинизшей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отметки склада.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При наземном расположении резервуаров возможно строительство надземной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мазутонасосной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, что улучшает условия эксплуатации мазутного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хо-зяйства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повышает надежность ее работы. Вместе с тем при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наземном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распо-ложении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возрастают противопожарные разрывы между резервуарами,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увеличи-ваются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размеры склада. По суммарной емкости наземных резервуаров более 5000 м</w:t>
      </w:r>
      <w:r w:rsidRPr="007D6790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пео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существующим противопожарным нормам склад должен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распола-гаться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вне территории электростанции или котельной.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При применении полуподземных и подземных резервуаров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максималь-ная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емкость склада топлива на площадке электростанции или котельной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допус-кается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10000 м</w:t>
      </w:r>
      <w:r w:rsidRPr="007D6790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7D6790">
        <w:rPr>
          <w:rFonts w:ascii="Times New Roman" w:eastAsia="Arial" w:hAnsi="Times New Roman" w:cs="Times New Roman"/>
          <w:sz w:val="28"/>
          <w:szCs w:val="28"/>
        </w:rPr>
        <w:t xml:space="preserve">; при большем запасе топлива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мазутохранилище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должно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распо-лагаться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вне территории электростанции.</w:t>
      </w:r>
    </w:p>
    <w:p w:rsidR="00E941EF" w:rsidRPr="007D6790" w:rsidRDefault="00E941EF" w:rsidP="007D6790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предназначены для:</w:t>
      </w:r>
    </w:p>
    <w:p w:rsidR="00E941EF" w:rsidRPr="007D6790" w:rsidRDefault="007D6790" w:rsidP="007D6790">
      <w:pPr>
        <w:numPr>
          <w:ilvl w:val="0"/>
          <w:numId w:val="1"/>
        </w:numPr>
        <w:tabs>
          <w:tab w:val="clear" w:pos="0"/>
          <w:tab w:val="num" w:pos="360"/>
          <w:tab w:val="left" w:pos="420"/>
        </w:tabs>
        <w:ind w:left="420" w:hanging="158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>хранения запаса мазута;</w:t>
      </w:r>
    </w:p>
    <w:p w:rsidR="00E941EF" w:rsidRPr="007D6790" w:rsidRDefault="007D6790" w:rsidP="007D6790">
      <w:pPr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подготовки мазута к сжиганию (подогрев, обезвоживание, отстой воды, </w:t>
      </w:r>
      <w:proofErr w:type="spellStart"/>
      <w:proofErr w:type="gramStart"/>
      <w:r w:rsidR="00E941EF" w:rsidRPr="007D6790">
        <w:rPr>
          <w:rFonts w:ascii="Times New Roman" w:eastAsia="Arial" w:hAnsi="Times New Roman" w:cs="Times New Roman"/>
          <w:sz w:val="28"/>
          <w:szCs w:val="28"/>
        </w:rPr>
        <w:t>пере-мешивание</w:t>
      </w:r>
      <w:proofErr w:type="spellEnd"/>
      <w:proofErr w:type="gramEnd"/>
      <w:r w:rsidR="00E941EF" w:rsidRPr="007D6790">
        <w:rPr>
          <w:rFonts w:ascii="Times New Roman" w:eastAsia="Arial" w:hAnsi="Times New Roman" w:cs="Times New Roman"/>
          <w:sz w:val="28"/>
          <w:szCs w:val="28"/>
        </w:rPr>
        <w:t xml:space="preserve"> с водой).</w:t>
      </w:r>
    </w:p>
    <w:p w:rsidR="00E941EF" w:rsidRPr="007D6790" w:rsidRDefault="00E941EF" w:rsidP="007D6790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Максимальная температура мазута в приемных емкостях и резервуарах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принимается 70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  <w:vertAlign w:val="superscript"/>
        </w:rPr>
        <w:t>о</w:t>
      </w:r>
      <w:r w:rsidRPr="007D6790">
        <w:rPr>
          <w:rFonts w:ascii="Times New Roman" w:eastAsia="Arial" w:hAnsi="Times New Roman" w:cs="Times New Roman"/>
          <w:sz w:val="28"/>
          <w:szCs w:val="28"/>
        </w:rPr>
        <w:t>С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>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Мазут в резервуарах мазутного хозяйства разогревается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циркуляцион-ным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способом по отдельному специально выделенному контуру. В контуре циркуляционного разогрева мазута установлен один резервный насос и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подо-греватель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>. Подача насоса циркуляционного разогрева обеспечивает подготовку мазута в основных резервуарах для бесперебойного снабжения энергетических котлов.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Схема подачи мазута в котельное отделение двухступенчатая,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обеспечи-вающая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давление после насосов II-го подъема 4,5 МПа. На каждую ступень принимаем четыре насоса, включая один резервный и один ремонтный.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В насосной основного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мазутохозяйства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предусматривается по одному резервному подогревателю и фильтру тонкой очистки.</w:t>
      </w:r>
      <w:proofErr w:type="gramEnd"/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Мазут из основного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мазутохозяйства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подается к котлам по двум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маги-стралям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, каждая на 75% номинальной производительности с учетом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рецирку-ляции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Рециркуляция обеспечивается в магистральных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мазутопроводах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котель-ной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в отводах к каждому котлу.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Для этого предусматривают трубопровод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ре-циркуляции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мазута из котельного отделения в мазутное хозяйство.</w:t>
      </w:r>
    </w:p>
    <w:p w:rsidR="00E941EF" w:rsidRPr="007D6790" w:rsidRDefault="00E941EF" w:rsidP="007D6790">
      <w:pPr>
        <w:ind w:left="260" w:firstLine="92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Запорная и регулирующая арматура установлена на вводах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магистраль-ных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мазутопроводов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на отводах к каждому котлу внутри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котельного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помеще-ния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>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jc w:val="right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>90</w:t>
      </w:r>
    </w:p>
    <w:p w:rsidR="00E941EF" w:rsidRPr="007D6790" w:rsidRDefault="00E941EF" w:rsidP="007D6790">
      <w:pPr>
        <w:jc w:val="right"/>
        <w:rPr>
          <w:rFonts w:ascii="Times New Roman" w:eastAsia="Arial" w:hAnsi="Times New Roman" w:cs="Times New Roman"/>
          <w:sz w:val="28"/>
          <w:szCs w:val="28"/>
        </w:rPr>
        <w:sectPr w:rsidR="00E941EF" w:rsidRPr="007D6790">
          <w:pgSz w:w="11900" w:h="16841"/>
          <w:pgMar w:top="1138" w:right="566" w:bottom="392" w:left="1440" w:header="0" w:footer="0" w:gutter="0"/>
          <w:cols w:space="0" w:equalWidth="0">
            <w:col w:w="9900"/>
          </w:cols>
          <w:docGrid w:linePitch="360"/>
        </w:sectPr>
      </w:pP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91"/>
      <w:bookmarkEnd w:id="3"/>
      <w:r w:rsidRPr="007D6790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Прокладка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мазутопроводов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наземная, исключая места пересечения с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же-лезнодорожными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путями. В целях уменьшения остывания мазута на открытом воздухе и холодных помещениях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мазутопроводы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имеют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общую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тепловую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изо-ляцию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 паровыми спутниками.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7D6790">
        <w:rPr>
          <w:rFonts w:ascii="Times New Roman" w:eastAsia="Arial" w:hAnsi="Times New Roman" w:cs="Times New Roman"/>
          <w:b/>
          <w:sz w:val="28"/>
          <w:szCs w:val="28"/>
        </w:rPr>
        <w:t>Подогрев мазута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- открытым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а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о м — в цистерну вводят штангу, через которую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пода-ют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пар до момента разжижения мазута;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-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рециркуляционным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подогревом — прогревают отверстие в центре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ци-стерны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затем мазут центробежным насосом прокачивают через наружный теплообменник для подогрева топлива до температуры на 10... 20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°С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ниже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тем-пературы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вспышки и подают к брандспойту, установленному в цистерне;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ре-циркуляцию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проводят до полного слива мазута из цистерны;</w:t>
      </w: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- паром, подаваемым в цистерны, — в цистерны, оборудованные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паро-вой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рубашкой, подают пар, в результате чего стенки корпуса нагреваются до температуры 80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°С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и холодный мазут, прогреваясь, начинает стекать по горячей поверхности к сливному патрубку;</w:t>
      </w:r>
    </w:p>
    <w:p w:rsidR="00E941EF" w:rsidRPr="007D6790" w:rsidRDefault="00E941EF" w:rsidP="007D6790">
      <w:pPr>
        <w:numPr>
          <w:ilvl w:val="0"/>
          <w:numId w:val="1"/>
        </w:numPr>
        <w:tabs>
          <w:tab w:val="clear" w:pos="0"/>
          <w:tab w:val="num" w:pos="360"/>
          <w:tab w:val="left" w:pos="1306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слив мазута под избыточным давлением — на люк колпака цистерны устанавливают съемную крышку, имеющую специальные патрубки, через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ко-торые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подается водяной пар или сжатый воздух;</w:t>
      </w:r>
    </w:p>
    <w:p w:rsidR="00E941EF" w:rsidRPr="007D6790" w:rsidRDefault="00E941EF" w:rsidP="007D6790">
      <w:pPr>
        <w:numPr>
          <w:ilvl w:val="0"/>
          <w:numId w:val="1"/>
        </w:numPr>
        <w:tabs>
          <w:tab w:val="clear" w:pos="0"/>
          <w:tab w:val="num" w:pos="360"/>
          <w:tab w:val="left" w:pos="1294"/>
        </w:tabs>
        <w:ind w:left="260" w:firstLine="854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разогрев железнодорожных цистерн с помощью тепляков-сараев, в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ко-торые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подается горячий воздух с температурой до 120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°С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>;</w:t>
      </w:r>
    </w:p>
    <w:p w:rsidR="00E941EF" w:rsidRPr="007D6790" w:rsidRDefault="00E941EF" w:rsidP="007D6790">
      <w:pPr>
        <w:numPr>
          <w:ilvl w:val="0"/>
          <w:numId w:val="1"/>
        </w:numPr>
        <w:tabs>
          <w:tab w:val="clear" w:pos="0"/>
          <w:tab w:val="num" w:pos="360"/>
          <w:tab w:val="left" w:pos="1323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виброподогрев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позволяет существенно повысить эффективность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про-гревания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мазута, контактирующего с вибрирующей поверхностью нагрева,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вво-димой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 цистерну;</w:t>
      </w:r>
    </w:p>
    <w:p w:rsidR="00E941EF" w:rsidRPr="007D6790" w:rsidRDefault="00E941EF" w:rsidP="007D6790">
      <w:pPr>
        <w:numPr>
          <w:ilvl w:val="0"/>
          <w:numId w:val="1"/>
        </w:numPr>
        <w:tabs>
          <w:tab w:val="clear" w:pos="0"/>
          <w:tab w:val="num" w:pos="360"/>
          <w:tab w:val="left" w:pos="1390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индукционный подогрев осуществляется с помощью пропускания электрического тока через катушку: возникающие при этом токи Фуко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разогре-вают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цистерну:</w:t>
      </w:r>
    </w:p>
    <w:p w:rsidR="00E941EF" w:rsidRPr="007D6790" w:rsidRDefault="00E941EF" w:rsidP="007D6790">
      <w:pPr>
        <w:numPr>
          <w:ilvl w:val="0"/>
          <w:numId w:val="1"/>
        </w:numPr>
        <w:tabs>
          <w:tab w:val="clear" w:pos="0"/>
          <w:tab w:val="num" w:pos="360"/>
          <w:tab w:val="left" w:pos="1362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электрический подогрев выполняется с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помощью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установленных с двух сторон цистерны двух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электрорефлекторов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>; недостатком способа является большой расход электроэнергии.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proofErr w:type="spellStart"/>
      <w:r w:rsidRPr="007D6790">
        <w:rPr>
          <w:rFonts w:ascii="Times New Roman" w:eastAsia="Arial" w:hAnsi="Times New Roman" w:cs="Times New Roman"/>
          <w:b/>
          <w:sz w:val="28"/>
          <w:szCs w:val="28"/>
        </w:rPr>
        <w:t>Мазутохранилища</w:t>
      </w:r>
      <w:proofErr w:type="spellEnd"/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941EF" w:rsidRPr="007D6790" w:rsidRDefault="00E941EF" w:rsidP="007D6790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7D6790">
        <w:rPr>
          <w:rFonts w:ascii="Times New Roman" w:eastAsia="Arial" w:hAnsi="Times New Roman" w:cs="Times New Roman"/>
          <w:sz w:val="28"/>
          <w:szCs w:val="28"/>
        </w:rPr>
        <w:t xml:space="preserve">Запас мазута держат в резервуарах —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мазутохранилищах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Мазутохрани-лища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выполняются наземными, полуподземными (заглубленными) и </w:t>
      </w:r>
      <w:proofErr w:type="spellStart"/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подзем-ными</w:t>
      </w:r>
      <w:proofErr w:type="spellEnd"/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. Суммарная вместимость резервуаров выбирается в зависимости от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про-изводительности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котельной, дальности и способа доставки мазута (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железнодо</w:t>
      </w:r>
      <w:bookmarkStart w:id="4" w:name="page92"/>
      <w:bookmarkEnd w:id="4"/>
      <w:r w:rsidRPr="007D6790">
        <w:rPr>
          <w:rFonts w:ascii="Times New Roman" w:eastAsia="Arial" w:hAnsi="Times New Roman" w:cs="Times New Roman"/>
          <w:sz w:val="28"/>
          <w:szCs w:val="28"/>
        </w:rPr>
        <w:t>рожный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, трубопроводный и др.). Нормальный ряд </w:t>
      </w:r>
      <w:proofErr w:type="gramStart"/>
      <w:r w:rsidRPr="007D6790">
        <w:rPr>
          <w:rFonts w:ascii="Times New Roman" w:eastAsia="Arial" w:hAnsi="Times New Roman" w:cs="Times New Roman"/>
          <w:sz w:val="28"/>
          <w:szCs w:val="28"/>
        </w:rPr>
        <w:t>применяемых</w:t>
      </w:r>
      <w:proofErr w:type="gram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D6790">
        <w:rPr>
          <w:rFonts w:ascii="Times New Roman" w:eastAsia="Arial" w:hAnsi="Times New Roman" w:cs="Times New Roman"/>
          <w:sz w:val="28"/>
          <w:szCs w:val="28"/>
        </w:rPr>
        <w:t>мазутохрани-лищ</w:t>
      </w:r>
      <w:proofErr w:type="spellEnd"/>
      <w:r w:rsidRPr="007D6790">
        <w:rPr>
          <w:rFonts w:ascii="Times New Roman" w:eastAsia="Arial" w:hAnsi="Times New Roman" w:cs="Times New Roman"/>
          <w:sz w:val="28"/>
          <w:szCs w:val="28"/>
        </w:rPr>
        <w:t xml:space="preserve"> составляют резервуары вместимостью 100, 200; 500; 1000; 2000; 3000; 5000; 10 000.</w:t>
      </w:r>
    </w:p>
    <w:p w:rsidR="00E941EF" w:rsidRPr="007D6790" w:rsidRDefault="00E941EF" w:rsidP="007D679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37698" w:rsidRPr="007D6790" w:rsidRDefault="00E37698" w:rsidP="007D6790">
      <w:pPr>
        <w:rPr>
          <w:rFonts w:ascii="Times New Roman" w:hAnsi="Times New Roman" w:cs="Times New Roman"/>
          <w:sz w:val="28"/>
          <w:szCs w:val="28"/>
        </w:rPr>
      </w:pPr>
    </w:p>
    <w:sectPr w:rsidR="00E37698" w:rsidRPr="007D679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1EF"/>
    <w:rsid w:val="00083696"/>
    <w:rsid w:val="007B4445"/>
    <w:rsid w:val="007D6790"/>
    <w:rsid w:val="0093149C"/>
    <w:rsid w:val="00C3118F"/>
    <w:rsid w:val="00CB5CAB"/>
    <w:rsid w:val="00DD3377"/>
    <w:rsid w:val="00E37698"/>
    <w:rsid w:val="00E94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1EF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ommatika.ru/prodykcy" TargetMode="External"/><Relationship Id="rId5" Type="http://schemas.openxmlformats.org/officeDocument/2006/relationships/hyperlink" Target="http://prommatika.ru/prodykc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1283</Words>
  <Characters>7317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Links>
    <vt:vector size="12" baseType="variant">
      <vt:variant>
        <vt:i4>1572959</vt:i4>
      </vt:variant>
      <vt:variant>
        <vt:i4>3</vt:i4>
      </vt:variant>
      <vt:variant>
        <vt:i4>0</vt:i4>
      </vt:variant>
      <vt:variant>
        <vt:i4>5</vt:i4>
      </vt:variant>
      <vt:variant>
        <vt:lpwstr>http://prommatika.ru/prodykcy</vt:lpwstr>
      </vt:variant>
      <vt:variant>
        <vt:lpwstr/>
      </vt:variant>
      <vt:variant>
        <vt:i4>1572959</vt:i4>
      </vt:variant>
      <vt:variant>
        <vt:i4>0</vt:i4>
      </vt:variant>
      <vt:variant>
        <vt:i4>0</vt:i4>
      </vt:variant>
      <vt:variant>
        <vt:i4>5</vt:i4>
      </vt:variant>
      <vt:variant>
        <vt:lpwstr>http://prommatika.ru/prodykcy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2020-09-04T16:30:00Z</dcterms:created>
  <dcterms:modified xsi:type="dcterms:W3CDTF">2020-09-04T16:31:00Z</dcterms:modified>
</cp:coreProperties>
</file>